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63" w:rsidRPr="006C242A" w:rsidRDefault="00382363" w:rsidP="00382363">
      <w:pPr>
        <w:jc w:val="both"/>
        <w:rPr>
          <w:rFonts w:ascii="Tahoma" w:hAnsi="Tahoma" w:cs="Tahoma"/>
          <w:sz w:val="22"/>
          <w:szCs w:val="22"/>
        </w:rPr>
      </w:pPr>
      <w:r w:rsidRPr="006C242A">
        <w:rPr>
          <w:rFonts w:ascii="Tahoma" w:hAnsi="Tahoma" w:cs="Tahoma"/>
          <w:b/>
          <w:sz w:val="22"/>
          <w:szCs w:val="22"/>
        </w:rPr>
        <w:t>Šibensko-kninska županija</w:t>
      </w:r>
      <w:r w:rsidRPr="006C242A">
        <w:rPr>
          <w:rFonts w:ascii="Tahoma" w:hAnsi="Tahoma" w:cs="Tahoma"/>
          <w:sz w:val="22"/>
          <w:szCs w:val="22"/>
        </w:rPr>
        <w:t xml:space="preserve">, Šibenik, Trg Pavla Šubića I. </w:t>
      </w:r>
      <w:proofErr w:type="spellStart"/>
      <w:r w:rsidRPr="006C242A">
        <w:rPr>
          <w:rFonts w:ascii="Tahoma" w:hAnsi="Tahoma" w:cs="Tahoma"/>
          <w:sz w:val="22"/>
          <w:szCs w:val="22"/>
        </w:rPr>
        <w:t>br</w:t>
      </w:r>
      <w:proofErr w:type="spellEnd"/>
      <w:r w:rsidRPr="006C242A">
        <w:rPr>
          <w:rFonts w:ascii="Tahoma" w:hAnsi="Tahoma" w:cs="Tahoma"/>
          <w:sz w:val="22"/>
          <w:szCs w:val="22"/>
        </w:rPr>
        <w:t xml:space="preserve"> 2, OIB 99395814920, koju zastupa župan dr. sc. Marko Jelić. (u daljnjem tekstu: Županija)</w:t>
      </w:r>
    </w:p>
    <w:p w:rsidR="00382363" w:rsidRPr="006C242A" w:rsidRDefault="00382363" w:rsidP="00382363">
      <w:pPr>
        <w:jc w:val="both"/>
        <w:rPr>
          <w:rFonts w:ascii="Tahoma" w:hAnsi="Tahoma" w:cs="Tahoma"/>
          <w:sz w:val="22"/>
          <w:szCs w:val="22"/>
        </w:rPr>
      </w:pPr>
      <w:r w:rsidRPr="006C242A">
        <w:rPr>
          <w:rFonts w:ascii="Tahoma" w:hAnsi="Tahoma" w:cs="Tahoma"/>
          <w:sz w:val="22"/>
          <w:szCs w:val="22"/>
        </w:rPr>
        <w:t>i</w:t>
      </w:r>
    </w:p>
    <w:p w:rsidR="00382363" w:rsidRPr="006C242A" w:rsidRDefault="00382363" w:rsidP="00382363">
      <w:pPr>
        <w:jc w:val="both"/>
        <w:rPr>
          <w:rFonts w:ascii="Tahoma" w:hAnsi="Tahoma" w:cs="Tahoma"/>
          <w:sz w:val="22"/>
          <w:szCs w:val="22"/>
        </w:rPr>
      </w:pPr>
      <w:r w:rsidRPr="006C242A">
        <w:rPr>
          <w:rFonts w:ascii="Tahoma" w:hAnsi="Tahoma" w:cs="Tahoma"/>
          <w:sz w:val="22"/>
          <w:szCs w:val="22"/>
        </w:rPr>
        <w:t>_____________________(u daljnjem tekstu: Korisnik) sklopili su dana _____________ 202</w:t>
      </w:r>
      <w:r w:rsidR="003E358E">
        <w:rPr>
          <w:rFonts w:ascii="Tahoma" w:hAnsi="Tahoma" w:cs="Tahoma"/>
          <w:sz w:val="22"/>
          <w:szCs w:val="22"/>
        </w:rPr>
        <w:t>4</w:t>
      </w:r>
      <w:r w:rsidRPr="006C242A">
        <w:rPr>
          <w:rFonts w:ascii="Tahoma" w:hAnsi="Tahoma" w:cs="Tahoma"/>
          <w:sz w:val="22"/>
          <w:szCs w:val="22"/>
        </w:rPr>
        <w:t xml:space="preserve">. godine </w:t>
      </w:r>
    </w:p>
    <w:p w:rsidR="00382363" w:rsidRPr="006C242A" w:rsidRDefault="00382363" w:rsidP="00382363">
      <w:pPr>
        <w:jc w:val="both"/>
        <w:rPr>
          <w:rFonts w:ascii="Tahoma" w:hAnsi="Tahoma" w:cs="Tahoma"/>
          <w:sz w:val="22"/>
          <w:szCs w:val="22"/>
        </w:rPr>
      </w:pPr>
    </w:p>
    <w:p w:rsidR="00A50ECA" w:rsidRDefault="00A50ECA" w:rsidP="00382363">
      <w:pPr>
        <w:jc w:val="center"/>
        <w:rPr>
          <w:rFonts w:ascii="Tahoma" w:hAnsi="Tahoma" w:cs="Tahoma"/>
          <w:b/>
          <w:sz w:val="22"/>
          <w:szCs w:val="22"/>
        </w:rPr>
      </w:pPr>
    </w:p>
    <w:p w:rsidR="00382363" w:rsidRPr="006C242A" w:rsidRDefault="00382363" w:rsidP="00382363">
      <w:pPr>
        <w:jc w:val="center"/>
        <w:rPr>
          <w:rFonts w:ascii="Tahoma" w:hAnsi="Tahoma" w:cs="Tahoma"/>
          <w:b/>
          <w:sz w:val="22"/>
          <w:szCs w:val="22"/>
        </w:rPr>
      </w:pPr>
      <w:r w:rsidRPr="006C242A">
        <w:rPr>
          <w:rFonts w:ascii="Tahoma" w:hAnsi="Tahoma" w:cs="Tahoma"/>
          <w:b/>
          <w:sz w:val="22"/>
          <w:szCs w:val="22"/>
        </w:rPr>
        <w:t>UGOVOR O SUFINANCIRANJU</w:t>
      </w:r>
    </w:p>
    <w:p w:rsidR="00382363" w:rsidRPr="006C242A" w:rsidRDefault="00382363" w:rsidP="00382363">
      <w:pPr>
        <w:jc w:val="center"/>
        <w:rPr>
          <w:rFonts w:ascii="Tahoma" w:hAnsi="Tahoma" w:cs="Tahoma"/>
          <w:b/>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t>I.</w:t>
      </w:r>
    </w:p>
    <w:p w:rsidR="00382363" w:rsidRPr="006C242A" w:rsidRDefault="00382363" w:rsidP="00382363">
      <w:pPr>
        <w:jc w:val="center"/>
        <w:rPr>
          <w:rFonts w:ascii="Tahoma" w:hAnsi="Tahoma" w:cs="Tahoma"/>
          <w:b/>
          <w:sz w:val="22"/>
          <w:szCs w:val="22"/>
        </w:rPr>
      </w:pPr>
    </w:p>
    <w:p w:rsidR="00382363" w:rsidRDefault="00382363" w:rsidP="00382363">
      <w:pPr>
        <w:jc w:val="both"/>
        <w:rPr>
          <w:rFonts w:ascii="Tahoma" w:hAnsi="Tahoma" w:cs="Tahoma"/>
          <w:sz w:val="22"/>
          <w:szCs w:val="22"/>
        </w:rPr>
      </w:pPr>
      <w:r>
        <w:rPr>
          <w:rFonts w:ascii="Tahoma" w:hAnsi="Tahoma" w:cs="Tahoma"/>
          <w:sz w:val="22"/>
          <w:szCs w:val="22"/>
        </w:rPr>
        <w:tab/>
      </w:r>
      <w:r w:rsidRPr="006C242A">
        <w:rPr>
          <w:rFonts w:ascii="Tahoma" w:hAnsi="Tahoma" w:cs="Tahoma"/>
          <w:sz w:val="22"/>
          <w:szCs w:val="22"/>
        </w:rPr>
        <w:t xml:space="preserve">Na </w:t>
      </w:r>
      <w:r w:rsidRPr="009C5D65">
        <w:rPr>
          <w:rFonts w:ascii="Tahoma" w:hAnsi="Tahoma" w:cs="Tahoma"/>
          <w:sz w:val="22"/>
          <w:szCs w:val="22"/>
        </w:rPr>
        <w:t>temelju čl. 6. i 23. Pravilnika o</w:t>
      </w:r>
      <w:r w:rsidRPr="006C242A">
        <w:rPr>
          <w:rFonts w:ascii="Tahoma" w:hAnsi="Tahoma" w:cs="Tahoma"/>
          <w:sz w:val="22"/>
          <w:szCs w:val="22"/>
        </w:rPr>
        <w:t xml:space="preserve"> financiranju programa i projekata od interesa za opće dobro koje provode udruge na području Šibensko-kninske županije („Službeni vjesnik Šibensko-kninske županije</w:t>
      </w:r>
      <w:r w:rsidRPr="009C5D65">
        <w:rPr>
          <w:rFonts w:ascii="Tahoma" w:hAnsi="Tahoma" w:cs="Tahoma"/>
          <w:sz w:val="22"/>
          <w:szCs w:val="22"/>
        </w:rPr>
        <w:t xml:space="preserve">“, </w:t>
      </w:r>
      <w:r w:rsidR="009C5D65" w:rsidRPr="009C5D65">
        <w:rPr>
          <w:rFonts w:ascii="Tahoma" w:hAnsi="Tahoma" w:cs="Tahoma"/>
          <w:sz w:val="22"/>
          <w:szCs w:val="22"/>
        </w:rPr>
        <w:t xml:space="preserve">broj 1/19, </w:t>
      </w:r>
      <w:r w:rsidRPr="009C5D65">
        <w:rPr>
          <w:rFonts w:ascii="Tahoma" w:hAnsi="Tahoma" w:cs="Tahoma"/>
          <w:sz w:val="22"/>
          <w:szCs w:val="22"/>
        </w:rPr>
        <w:t>14/22</w:t>
      </w:r>
      <w:r w:rsidR="009C5D65" w:rsidRPr="009C5D65">
        <w:rPr>
          <w:rFonts w:ascii="Tahoma" w:hAnsi="Tahoma" w:cs="Tahoma"/>
          <w:sz w:val="22"/>
          <w:szCs w:val="22"/>
        </w:rPr>
        <w:t xml:space="preserve"> i</w:t>
      </w:r>
      <w:r w:rsidR="009C5D65">
        <w:rPr>
          <w:rFonts w:ascii="Tahoma" w:hAnsi="Tahoma" w:cs="Tahoma"/>
          <w:sz w:val="22"/>
          <w:szCs w:val="22"/>
        </w:rPr>
        <w:t xml:space="preserve"> 13/24</w:t>
      </w:r>
      <w:r w:rsidRPr="006C242A">
        <w:rPr>
          <w:rFonts w:ascii="Tahoma" w:hAnsi="Tahoma" w:cs="Tahoma"/>
          <w:sz w:val="22"/>
          <w:szCs w:val="22"/>
        </w:rPr>
        <w:t xml:space="preserve">) i </w:t>
      </w:r>
      <w:r w:rsidRPr="00C32815">
        <w:rPr>
          <w:rFonts w:ascii="Tahoma" w:hAnsi="Tahoma" w:cs="Tahoma"/>
          <w:sz w:val="22"/>
          <w:szCs w:val="22"/>
        </w:rPr>
        <w:t>Programa javnih potreba iz područja zaštite okoliša i prirode Šibensko-kninske županije za 202</w:t>
      </w:r>
      <w:r w:rsidR="00A50ECA" w:rsidRPr="00C32815">
        <w:rPr>
          <w:rFonts w:ascii="Tahoma" w:hAnsi="Tahoma" w:cs="Tahoma"/>
          <w:sz w:val="22"/>
          <w:szCs w:val="22"/>
        </w:rPr>
        <w:t>4</w:t>
      </w:r>
      <w:r w:rsidRPr="00C32815">
        <w:rPr>
          <w:rFonts w:ascii="Tahoma" w:hAnsi="Tahoma" w:cs="Tahoma"/>
          <w:sz w:val="22"/>
          <w:szCs w:val="22"/>
        </w:rPr>
        <w:t>. godinu („Službeni vjesnik Šib</w:t>
      </w:r>
      <w:r w:rsidR="00C32815" w:rsidRPr="00C32815">
        <w:rPr>
          <w:rFonts w:ascii="Tahoma" w:hAnsi="Tahoma" w:cs="Tahoma"/>
          <w:sz w:val="22"/>
          <w:szCs w:val="22"/>
        </w:rPr>
        <w:t>ensko-kninske županije“, broj 33/23</w:t>
      </w:r>
      <w:r w:rsidRPr="00C32815">
        <w:rPr>
          <w:rFonts w:ascii="Tahoma" w:hAnsi="Tahoma" w:cs="Tahoma"/>
          <w:sz w:val="22"/>
          <w:szCs w:val="22"/>
        </w:rPr>
        <w:t>),</w:t>
      </w:r>
      <w:r w:rsidRPr="006C242A">
        <w:rPr>
          <w:rFonts w:ascii="Tahoma" w:hAnsi="Tahoma" w:cs="Tahoma"/>
          <w:sz w:val="22"/>
          <w:szCs w:val="22"/>
        </w:rPr>
        <w:t xml:space="preserve"> Županija će osigurati Korisniku sredstva u iznosu od </w:t>
      </w:r>
    </w:p>
    <w:p w:rsidR="00A50ECA" w:rsidRPr="006C242A" w:rsidRDefault="00A50ECA" w:rsidP="00382363">
      <w:pPr>
        <w:jc w:val="both"/>
        <w:rPr>
          <w:rFonts w:ascii="Tahoma" w:hAnsi="Tahoma" w:cs="Tahoma"/>
          <w:sz w:val="22"/>
          <w:szCs w:val="22"/>
        </w:rPr>
      </w:pPr>
    </w:p>
    <w:p w:rsidR="00382363" w:rsidRPr="006C242A" w:rsidRDefault="00382363" w:rsidP="00382363">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82363" w:rsidRPr="006C242A" w:rsidTr="001F3965">
        <w:tc>
          <w:tcPr>
            <w:tcW w:w="9288" w:type="dxa"/>
            <w:shd w:val="clear" w:color="auto" w:fill="auto"/>
          </w:tcPr>
          <w:p w:rsidR="00382363" w:rsidRPr="006C242A" w:rsidRDefault="00F363C1" w:rsidP="001F3965">
            <w:pPr>
              <w:jc w:val="center"/>
              <w:rPr>
                <w:rFonts w:ascii="Tahoma" w:hAnsi="Tahoma" w:cs="Tahoma"/>
                <w:sz w:val="22"/>
                <w:szCs w:val="22"/>
              </w:rPr>
            </w:pPr>
            <w:r>
              <w:rPr>
                <w:rFonts w:ascii="Tahoma" w:hAnsi="Tahoma" w:cs="Tahoma"/>
                <w:sz w:val="22"/>
                <w:szCs w:val="22"/>
              </w:rPr>
              <w:t>EUR</w:t>
            </w:r>
            <w:r w:rsidR="00382363" w:rsidRPr="006C242A">
              <w:rPr>
                <w:rFonts w:ascii="Tahoma" w:hAnsi="Tahoma" w:cs="Tahoma"/>
                <w:sz w:val="22"/>
                <w:szCs w:val="22"/>
              </w:rPr>
              <w:t xml:space="preserve">  (slovima:                                                                      )</w:t>
            </w:r>
          </w:p>
        </w:tc>
      </w:tr>
    </w:tbl>
    <w:p w:rsidR="00382363" w:rsidRDefault="00382363" w:rsidP="00382363">
      <w:pPr>
        <w:rPr>
          <w:rFonts w:ascii="Tahoma" w:hAnsi="Tahoma" w:cs="Tahoma"/>
          <w:sz w:val="22"/>
          <w:szCs w:val="22"/>
        </w:rPr>
      </w:pPr>
      <w:r w:rsidRPr="006C242A">
        <w:rPr>
          <w:rFonts w:ascii="Tahoma" w:hAnsi="Tahoma" w:cs="Tahoma"/>
          <w:sz w:val="22"/>
          <w:szCs w:val="22"/>
        </w:rPr>
        <w:t>za sufinanciranje programa: ____________________________________________________________</w:t>
      </w:r>
    </w:p>
    <w:p w:rsidR="008D032A" w:rsidRPr="006C242A" w:rsidRDefault="008D032A" w:rsidP="00382363">
      <w:pPr>
        <w:rPr>
          <w:rFonts w:ascii="Tahoma" w:hAnsi="Tahoma" w:cs="Tahoma"/>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t>II.</w:t>
      </w:r>
    </w:p>
    <w:p w:rsidR="00382363" w:rsidRPr="006C242A" w:rsidRDefault="00382363" w:rsidP="00382363">
      <w:pPr>
        <w:jc w:val="center"/>
        <w:rPr>
          <w:rFonts w:ascii="Tahoma" w:hAnsi="Tahoma" w:cs="Tahoma"/>
          <w:b/>
          <w:sz w:val="22"/>
          <w:szCs w:val="22"/>
        </w:rPr>
      </w:pPr>
    </w:p>
    <w:p w:rsidR="00382363" w:rsidRPr="006C242A" w:rsidRDefault="00382363" w:rsidP="00382363">
      <w:pPr>
        <w:jc w:val="both"/>
        <w:rPr>
          <w:rFonts w:ascii="Tahoma" w:hAnsi="Tahoma" w:cs="Tahoma"/>
          <w:sz w:val="22"/>
          <w:szCs w:val="22"/>
        </w:rPr>
      </w:pPr>
      <w:r>
        <w:rPr>
          <w:rFonts w:ascii="Tahoma" w:hAnsi="Tahoma" w:cs="Tahoma"/>
          <w:sz w:val="22"/>
          <w:szCs w:val="22"/>
        </w:rPr>
        <w:tab/>
      </w:r>
      <w:r w:rsidRPr="006C242A">
        <w:rPr>
          <w:rFonts w:ascii="Tahoma" w:hAnsi="Tahoma" w:cs="Tahoma"/>
          <w:sz w:val="22"/>
          <w:szCs w:val="22"/>
        </w:rPr>
        <w:t>Sredstva iz točke I. ovog ugovora isplatit će se na žiro-račun Korisnika kod poslovne banke: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82363" w:rsidRPr="006C242A" w:rsidTr="001F3965">
        <w:tc>
          <w:tcPr>
            <w:tcW w:w="9288" w:type="dxa"/>
            <w:shd w:val="clear" w:color="auto" w:fill="auto"/>
          </w:tcPr>
          <w:p w:rsidR="00382363" w:rsidRPr="006C242A" w:rsidRDefault="00382363" w:rsidP="001F3965">
            <w:pPr>
              <w:jc w:val="center"/>
              <w:rPr>
                <w:rFonts w:ascii="Tahoma" w:hAnsi="Tahoma" w:cs="Tahoma"/>
                <w:sz w:val="22"/>
                <w:szCs w:val="22"/>
              </w:rPr>
            </w:pPr>
          </w:p>
        </w:tc>
      </w:tr>
    </w:tbl>
    <w:p w:rsidR="00382363" w:rsidRPr="006C242A" w:rsidRDefault="00382363" w:rsidP="00382363">
      <w:pPr>
        <w:rPr>
          <w:rFonts w:ascii="Tahoma" w:hAnsi="Tahoma" w:cs="Tahoma"/>
          <w:sz w:val="22"/>
          <w:szCs w:val="22"/>
        </w:rPr>
      </w:pPr>
      <w:r w:rsidRPr="006C242A">
        <w:rPr>
          <w:rFonts w:ascii="Tahoma" w:hAnsi="Tahoma" w:cs="Tahoma"/>
          <w:sz w:val="22"/>
          <w:szCs w:val="22"/>
        </w:rPr>
        <w:t>ovisno o tijeku izvršenja programa i prilivu sredstava u županijski proračun.</w:t>
      </w:r>
    </w:p>
    <w:p w:rsidR="00A50ECA" w:rsidRDefault="00A50ECA" w:rsidP="00382363">
      <w:pPr>
        <w:jc w:val="center"/>
        <w:rPr>
          <w:rFonts w:ascii="Tahoma" w:hAnsi="Tahoma" w:cs="Tahoma"/>
          <w:b/>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t>III.</w:t>
      </w:r>
    </w:p>
    <w:p w:rsidR="00382363" w:rsidRPr="006C242A" w:rsidRDefault="00382363" w:rsidP="00382363">
      <w:pPr>
        <w:jc w:val="center"/>
        <w:rPr>
          <w:rFonts w:ascii="Tahoma" w:hAnsi="Tahoma" w:cs="Tahoma"/>
          <w:b/>
          <w:sz w:val="22"/>
          <w:szCs w:val="22"/>
        </w:rPr>
      </w:pPr>
    </w:p>
    <w:p w:rsidR="008D032A" w:rsidRPr="006C242A" w:rsidRDefault="00382363" w:rsidP="00382363">
      <w:pPr>
        <w:jc w:val="both"/>
        <w:rPr>
          <w:rFonts w:ascii="Tahoma" w:hAnsi="Tahoma" w:cs="Tahoma"/>
          <w:sz w:val="22"/>
          <w:szCs w:val="22"/>
        </w:rPr>
      </w:pPr>
      <w:r>
        <w:rPr>
          <w:rFonts w:ascii="Tahoma" w:hAnsi="Tahoma" w:cs="Tahoma"/>
          <w:sz w:val="22"/>
          <w:szCs w:val="22"/>
        </w:rPr>
        <w:tab/>
      </w:r>
      <w:r w:rsidRPr="00382363">
        <w:rPr>
          <w:rFonts w:ascii="Tahoma" w:hAnsi="Tahoma" w:cs="Tahoma"/>
          <w:sz w:val="22"/>
          <w:szCs w:val="22"/>
        </w:rPr>
        <w:t xml:space="preserve">Sredstva iz članka </w:t>
      </w:r>
      <w:r>
        <w:rPr>
          <w:rFonts w:ascii="Tahoma" w:hAnsi="Tahoma" w:cs="Tahoma"/>
          <w:sz w:val="22"/>
          <w:szCs w:val="22"/>
        </w:rPr>
        <w:t>II</w:t>
      </w:r>
      <w:r w:rsidRPr="00382363">
        <w:rPr>
          <w:rFonts w:ascii="Tahoma" w:hAnsi="Tahoma" w:cs="Tahoma"/>
          <w:sz w:val="22"/>
          <w:szCs w:val="22"/>
        </w:rPr>
        <w:t xml:space="preserve">. ovog Ugovora mogu se koristiti isključivo </w:t>
      </w:r>
      <w:r>
        <w:rPr>
          <w:rFonts w:ascii="Tahoma" w:hAnsi="Tahoma" w:cs="Tahoma"/>
          <w:sz w:val="22"/>
          <w:szCs w:val="22"/>
        </w:rPr>
        <w:t xml:space="preserve">namjenski </w:t>
      </w:r>
      <w:r w:rsidRPr="00382363">
        <w:rPr>
          <w:rFonts w:ascii="Tahoma" w:hAnsi="Tahoma" w:cs="Tahoma"/>
          <w:sz w:val="22"/>
          <w:szCs w:val="22"/>
        </w:rPr>
        <w:t xml:space="preserve">za provedbu programa/projekta </w:t>
      </w:r>
      <w:r w:rsidRPr="006C242A">
        <w:rPr>
          <w:rFonts w:ascii="Tahoma" w:hAnsi="Tahoma" w:cs="Tahoma"/>
          <w:sz w:val="22"/>
          <w:szCs w:val="22"/>
        </w:rPr>
        <w:t xml:space="preserve">te </w:t>
      </w:r>
      <w:r>
        <w:rPr>
          <w:rFonts w:ascii="Tahoma" w:hAnsi="Tahoma" w:cs="Tahoma"/>
          <w:sz w:val="22"/>
          <w:szCs w:val="22"/>
        </w:rPr>
        <w:t xml:space="preserve">je </w:t>
      </w:r>
      <w:r w:rsidRPr="006C242A">
        <w:rPr>
          <w:rFonts w:ascii="Tahoma" w:hAnsi="Tahoma" w:cs="Tahoma"/>
          <w:sz w:val="22"/>
          <w:szCs w:val="22"/>
        </w:rPr>
        <w:t xml:space="preserve">ugovoreni program </w:t>
      </w:r>
      <w:r>
        <w:rPr>
          <w:rFonts w:ascii="Tahoma" w:hAnsi="Tahoma" w:cs="Tahoma"/>
          <w:sz w:val="22"/>
          <w:szCs w:val="22"/>
        </w:rPr>
        <w:t xml:space="preserve">potrebno </w:t>
      </w:r>
      <w:r w:rsidRPr="006C242A">
        <w:rPr>
          <w:rFonts w:ascii="Tahoma" w:hAnsi="Tahoma" w:cs="Tahoma"/>
          <w:sz w:val="22"/>
          <w:szCs w:val="22"/>
        </w:rPr>
        <w:t>realizirati tijekom 202</w:t>
      </w:r>
      <w:r w:rsidR="00A50ECA">
        <w:rPr>
          <w:rFonts w:ascii="Tahoma" w:hAnsi="Tahoma" w:cs="Tahoma"/>
          <w:sz w:val="22"/>
          <w:szCs w:val="22"/>
        </w:rPr>
        <w:t>4</w:t>
      </w:r>
      <w:r w:rsidRPr="006C242A">
        <w:rPr>
          <w:rFonts w:ascii="Tahoma" w:hAnsi="Tahoma" w:cs="Tahoma"/>
          <w:sz w:val="22"/>
          <w:szCs w:val="22"/>
        </w:rPr>
        <w:t>. godine, a najkasnije do 31.12. 202</w:t>
      </w:r>
      <w:r w:rsidR="00A50ECA">
        <w:rPr>
          <w:rFonts w:ascii="Tahoma" w:hAnsi="Tahoma" w:cs="Tahoma"/>
          <w:sz w:val="22"/>
          <w:szCs w:val="22"/>
        </w:rPr>
        <w:t>4</w:t>
      </w:r>
      <w:r w:rsidRPr="006C242A">
        <w:rPr>
          <w:rFonts w:ascii="Tahoma" w:hAnsi="Tahoma" w:cs="Tahoma"/>
          <w:sz w:val="22"/>
          <w:szCs w:val="22"/>
        </w:rPr>
        <w:t>. godine.</w:t>
      </w:r>
    </w:p>
    <w:p w:rsidR="00A50ECA" w:rsidRDefault="00A50ECA" w:rsidP="00382363">
      <w:pPr>
        <w:jc w:val="center"/>
        <w:rPr>
          <w:rFonts w:ascii="Tahoma" w:hAnsi="Tahoma" w:cs="Tahoma"/>
          <w:b/>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t>IV.</w:t>
      </w:r>
    </w:p>
    <w:p w:rsidR="00382363" w:rsidRPr="006C242A" w:rsidRDefault="00382363" w:rsidP="00382363">
      <w:pPr>
        <w:jc w:val="center"/>
        <w:rPr>
          <w:rFonts w:ascii="Tahoma" w:hAnsi="Tahoma" w:cs="Tahoma"/>
          <w:b/>
          <w:sz w:val="22"/>
          <w:szCs w:val="22"/>
        </w:rPr>
      </w:pPr>
    </w:p>
    <w:p w:rsidR="00382363" w:rsidRPr="00382363" w:rsidRDefault="00382363" w:rsidP="00382363">
      <w:pPr>
        <w:jc w:val="both"/>
        <w:rPr>
          <w:rFonts w:ascii="Tahoma" w:hAnsi="Tahoma" w:cs="Tahoma"/>
          <w:sz w:val="22"/>
          <w:szCs w:val="22"/>
        </w:rPr>
      </w:pPr>
      <w:r>
        <w:rPr>
          <w:rFonts w:ascii="Tahoma" w:hAnsi="Tahoma" w:cs="Tahoma"/>
          <w:sz w:val="22"/>
          <w:szCs w:val="22"/>
        </w:rPr>
        <w:tab/>
      </w:r>
      <w:r w:rsidRPr="00382363">
        <w:rPr>
          <w:rFonts w:ascii="Tahoma" w:hAnsi="Tahoma" w:cs="Tahoma"/>
          <w:sz w:val="22"/>
          <w:szCs w:val="22"/>
        </w:rPr>
        <w:t xml:space="preserve">Radi kontrole namjenskog korištenja odobrenih sredstava Korisnik se obvezuje </w:t>
      </w:r>
      <w:r>
        <w:rPr>
          <w:rFonts w:ascii="Tahoma" w:hAnsi="Tahoma" w:cs="Tahoma"/>
          <w:sz w:val="22"/>
          <w:szCs w:val="22"/>
        </w:rPr>
        <w:t>Županiji</w:t>
      </w:r>
      <w:r w:rsidRPr="00382363">
        <w:rPr>
          <w:rFonts w:ascii="Tahoma" w:hAnsi="Tahoma" w:cs="Tahoma"/>
          <w:sz w:val="22"/>
          <w:szCs w:val="22"/>
        </w:rPr>
        <w:t xml:space="preserve"> dostaviti sljedeću dokumentaciju:</w:t>
      </w:r>
    </w:p>
    <w:p w:rsidR="00382363" w:rsidRPr="00382363" w:rsidRDefault="00382363" w:rsidP="00382363">
      <w:pPr>
        <w:jc w:val="both"/>
        <w:rPr>
          <w:rFonts w:ascii="Tahoma" w:hAnsi="Tahoma" w:cs="Tahoma"/>
          <w:sz w:val="22"/>
          <w:szCs w:val="22"/>
        </w:rPr>
      </w:pPr>
      <w:r w:rsidRPr="00382363">
        <w:rPr>
          <w:rFonts w:ascii="Tahoma" w:hAnsi="Tahoma" w:cs="Tahoma"/>
          <w:sz w:val="22"/>
          <w:szCs w:val="22"/>
        </w:rPr>
        <w:tab/>
        <w:t>- za bezgotovinska plaćanja: preslike računa (R1 ili R2) koji glase na Korisnika, te pripadajuće bankovne izvode,</w:t>
      </w:r>
    </w:p>
    <w:p w:rsidR="00382363" w:rsidRPr="00382363" w:rsidRDefault="00382363" w:rsidP="00382363">
      <w:pPr>
        <w:jc w:val="both"/>
        <w:rPr>
          <w:rFonts w:ascii="Tahoma" w:hAnsi="Tahoma" w:cs="Tahoma"/>
          <w:sz w:val="22"/>
          <w:szCs w:val="22"/>
        </w:rPr>
      </w:pPr>
      <w:r w:rsidRPr="00382363">
        <w:rPr>
          <w:rFonts w:ascii="Tahoma" w:hAnsi="Tahoma" w:cs="Tahoma"/>
          <w:sz w:val="22"/>
          <w:szCs w:val="22"/>
        </w:rPr>
        <w:tab/>
        <w:t>- za gotovinska plaćanja: preslike računa (R1 ili R2) koji glase na Korisnika, preslike isplatnica iz blagajne i blagajničkog izvješća,</w:t>
      </w:r>
    </w:p>
    <w:p w:rsidR="00382363" w:rsidRPr="00382363" w:rsidRDefault="00382363" w:rsidP="00382363">
      <w:pPr>
        <w:jc w:val="both"/>
        <w:rPr>
          <w:rFonts w:ascii="Tahoma" w:hAnsi="Tahoma" w:cs="Tahoma"/>
          <w:sz w:val="22"/>
          <w:szCs w:val="22"/>
        </w:rPr>
      </w:pPr>
      <w:r w:rsidRPr="00382363">
        <w:rPr>
          <w:rFonts w:ascii="Tahoma" w:hAnsi="Tahoma" w:cs="Tahoma"/>
          <w:sz w:val="22"/>
          <w:szCs w:val="22"/>
        </w:rPr>
        <w:tab/>
        <w:t xml:space="preserve">- ostalu dokumentaciju: putne naloge s pripadajućim prilozima, dokumente na temelju kojih su obavljana plaćanja (ugovori, sporazumi, obračuni honorara) i </w:t>
      </w:r>
      <w:proofErr w:type="spellStart"/>
      <w:r w:rsidRPr="00382363">
        <w:rPr>
          <w:rFonts w:ascii="Tahoma" w:hAnsi="Tahoma" w:cs="Tahoma"/>
          <w:sz w:val="22"/>
          <w:szCs w:val="22"/>
        </w:rPr>
        <w:t>sl</w:t>
      </w:r>
      <w:proofErr w:type="spellEnd"/>
      <w:r w:rsidRPr="00382363">
        <w:rPr>
          <w:rFonts w:ascii="Tahoma" w:hAnsi="Tahoma" w:cs="Tahoma"/>
          <w:sz w:val="22"/>
          <w:szCs w:val="22"/>
        </w:rPr>
        <w:t>,</w:t>
      </w:r>
    </w:p>
    <w:p w:rsidR="00382363" w:rsidRPr="00382363" w:rsidRDefault="00382363" w:rsidP="00382363">
      <w:pPr>
        <w:jc w:val="both"/>
        <w:rPr>
          <w:rFonts w:ascii="Tahoma" w:hAnsi="Tahoma" w:cs="Tahoma"/>
          <w:sz w:val="22"/>
          <w:szCs w:val="22"/>
        </w:rPr>
      </w:pPr>
      <w:r w:rsidRPr="00382363">
        <w:rPr>
          <w:rFonts w:ascii="Tahoma" w:hAnsi="Tahoma" w:cs="Tahoma"/>
          <w:sz w:val="22"/>
          <w:szCs w:val="22"/>
        </w:rPr>
        <w:tab/>
        <w:t>- priloge vezane uz provedbu programa/projekta kao dokaze o provedbi projektnih aktivnosti (potpisne liste, evaluacijske listiće, fotografije s događanj</w:t>
      </w:r>
      <w:r w:rsidR="00A50ECA">
        <w:rPr>
          <w:rFonts w:ascii="Tahoma" w:hAnsi="Tahoma" w:cs="Tahoma"/>
          <w:sz w:val="22"/>
          <w:szCs w:val="22"/>
        </w:rPr>
        <w:t>a, primjerke publikacija i dr.).</w:t>
      </w:r>
    </w:p>
    <w:p w:rsidR="00A50ECA" w:rsidRDefault="00382363" w:rsidP="00382363">
      <w:pPr>
        <w:jc w:val="both"/>
        <w:rPr>
          <w:rFonts w:ascii="Tahoma" w:hAnsi="Tahoma" w:cs="Tahoma"/>
          <w:sz w:val="22"/>
          <w:szCs w:val="22"/>
        </w:rPr>
      </w:pPr>
      <w:r w:rsidRPr="00382363">
        <w:rPr>
          <w:rFonts w:ascii="Tahoma" w:hAnsi="Tahoma" w:cs="Tahoma"/>
          <w:sz w:val="22"/>
          <w:szCs w:val="22"/>
        </w:rPr>
        <w:tab/>
      </w:r>
    </w:p>
    <w:p w:rsidR="00382363" w:rsidRDefault="00382363" w:rsidP="00A50ECA">
      <w:pPr>
        <w:ind w:firstLine="708"/>
        <w:jc w:val="both"/>
        <w:rPr>
          <w:rFonts w:ascii="Tahoma" w:hAnsi="Tahoma" w:cs="Tahoma"/>
          <w:sz w:val="22"/>
          <w:szCs w:val="22"/>
        </w:rPr>
      </w:pPr>
      <w:r w:rsidRPr="00382363">
        <w:rPr>
          <w:rFonts w:ascii="Tahoma" w:hAnsi="Tahoma" w:cs="Tahoma"/>
          <w:sz w:val="22"/>
          <w:szCs w:val="22"/>
        </w:rPr>
        <w:t xml:space="preserve">Navedenu dokumentaciju Korisnik je dužan dostaviti </w:t>
      </w:r>
      <w:r>
        <w:rPr>
          <w:rFonts w:ascii="Tahoma" w:hAnsi="Tahoma" w:cs="Tahoma"/>
          <w:sz w:val="22"/>
          <w:szCs w:val="22"/>
        </w:rPr>
        <w:t>Županiji</w:t>
      </w:r>
      <w:r w:rsidRPr="00382363">
        <w:rPr>
          <w:rFonts w:ascii="Tahoma" w:hAnsi="Tahoma" w:cs="Tahoma"/>
          <w:sz w:val="22"/>
          <w:szCs w:val="22"/>
        </w:rPr>
        <w:t xml:space="preserve"> u roku od mjesec dana od završetka programa, a n</w:t>
      </w:r>
      <w:r w:rsidR="00A50ECA">
        <w:rPr>
          <w:rFonts w:ascii="Tahoma" w:hAnsi="Tahoma" w:cs="Tahoma"/>
          <w:sz w:val="22"/>
          <w:szCs w:val="22"/>
        </w:rPr>
        <w:t>ajkasnije do kraja siječnja 2025</w:t>
      </w:r>
      <w:r w:rsidRPr="00382363">
        <w:rPr>
          <w:rFonts w:ascii="Tahoma" w:hAnsi="Tahoma" w:cs="Tahoma"/>
          <w:sz w:val="22"/>
          <w:szCs w:val="22"/>
        </w:rPr>
        <w:t>. godine.</w:t>
      </w:r>
    </w:p>
    <w:p w:rsidR="00A50ECA" w:rsidRDefault="00A50ECA" w:rsidP="00382363">
      <w:pPr>
        <w:jc w:val="center"/>
        <w:rPr>
          <w:rFonts w:ascii="Tahoma" w:hAnsi="Tahoma" w:cs="Tahoma"/>
          <w:b/>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lastRenderedPageBreak/>
        <w:t>V.</w:t>
      </w:r>
    </w:p>
    <w:p w:rsidR="00382363" w:rsidRPr="006C242A" w:rsidRDefault="00382363" w:rsidP="00382363">
      <w:pPr>
        <w:jc w:val="center"/>
        <w:rPr>
          <w:rFonts w:ascii="Tahoma" w:hAnsi="Tahoma" w:cs="Tahoma"/>
          <w:b/>
          <w:sz w:val="22"/>
          <w:szCs w:val="22"/>
        </w:rPr>
      </w:pPr>
    </w:p>
    <w:p w:rsidR="00382363" w:rsidRPr="006C242A" w:rsidRDefault="00382363" w:rsidP="00382363">
      <w:pPr>
        <w:pStyle w:val="Bezproreda"/>
        <w:jc w:val="both"/>
        <w:rPr>
          <w:rFonts w:ascii="Tahoma" w:hAnsi="Tahoma" w:cs="Tahoma"/>
        </w:rPr>
      </w:pPr>
      <w:r>
        <w:rPr>
          <w:rFonts w:ascii="Tahoma" w:hAnsi="Tahoma" w:cs="Tahoma"/>
        </w:rPr>
        <w:tab/>
      </w:r>
      <w:r w:rsidRPr="006C242A">
        <w:rPr>
          <w:rFonts w:ascii="Tahoma" w:hAnsi="Tahoma" w:cs="Tahoma"/>
        </w:rPr>
        <w:t xml:space="preserve">Korisnik financiranja može samostalno ili na zahtjev Županije obustaviti provedbu cjelokupnog ili dijela programa/projekta ukoliko okolnosti (prije svega viša sila) ozbiljno otežavaju ili ugrožavaju njegovo provođenje. </w:t>
      </w:r>
    </w:p>
    <w:p w:rsidR="00A50ECA" w:rsidRDefault="00382363" w:rsidP="00382363">
      <w:pPr>
        <w:pStyle w:val="Bezproreda"/>
        <w:jc w:val="both"/>
        <w:rPr>
          <w:rFonts w:ascii="Tahoma" w:hAnsi="Tahoma" w:cs="Tahoma"/>
        </w:rPr>
      </w:pPr>
      <w:r>
        <w:rPr>
          <w:rFonts w:ascii="Tahoma" w:hAnsi="Tahoma" w:cs="Tahoma"/>
        </w:rPr>
        <w:tab/>
      </w:r>
    </w:p>
    <w:p w:rsidR="008D032A" w:rsidRPr="008D032A" w:rsidRDefault="00382363" w:rsidP="00A50ECA">
      <w:pPr>
        <w:pStyle w:val="Bezproreda"/>
        <w:ind w:firstLine="708"/>
        <w:jc w:val="both"/>
        <w:rPr>
          <w:rFonts w:ascii="Tahoma" w:hAnsi="Tahoma" w:cs="Tahoma"/>
        </w:rPr>
      </w:pPr>
      <w:r w:rsidRPr="006C242A">
        <w:rPr>
          <w:rFonts w:ascii="Tahoma" w:hAnsi="Tahoma" w:cs="Tahoma"/>
        </w:rPr>
        <w:t>Viša sila u provedbi programa/projekta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U tom slučaju, Korisnik je dužan vratiti preostala sredstva u proračun Županije najkasnije do 31. prosinca 202</w:t>
      </w:r>
      <w:r w:rsidR="00A50ECA">
        <w:rPr>
          <w:rFonts w:ascii="Tahoma" w:hAnsi="Tahoma" w:cs="Tahoma"/>
        </w:rPr>
        <w:t>4</w:t>
      </w:r>
      <w:r w:rsidRPr="006C242A">
        <w:rPr>
          <w:rFonts w:ascii="Tahoma" w:hAnsi="Tahoma" w:cs="Tahoma"/>
        </w:rPr>
        <w:t>.godine.</w:t>
      </w:r>
    </w:p>
    <w:p w:rsidR="00A50ECA" w:rsidRDefault="00A50ECA" w:rsidP="00382363">
      <w:pPr>
        <w:jc w:val="center"/>
        <w:rPr>
          <w:rFonts w:ascii="Tahoma" w:hAnsi="Tahoma" w:cs="Tahoma"/>
          <w:b/>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t>VI.</w:t>
      </w:r>
    </w:p>
    <w:p w:rsidR="00382363" w:rsidRPr="006C242A" w:rsidRDefault="00382363" w:rsidP="00382363">
      <w:pPr>
        <w:jc w:val="center"/>
        <w:rPr>
          <w:rFonts w:ascii="Tahoma" w:hAnsi="Tahoma" w:cs="Tahoma"/>
          <w:b/>
          <w:sz w:val="22"/>
          <w:szCs w:val="22"/>
        </w:rPr>
      </w:pPr>
    </w:p>
    <w:p w:rsidR="00382363" w:rsidRDefault="00382363" w:rsidP="00382363">
      <w:pPr>
        <w:jc w:val="both"/>
        <w:rPr>
          <w:rFonts w:ascii="Tahoma" w:hAnsi="Tahoma" w:cs="Tahoma"/>
          <w:sz w:val="22"/>
          <w:szCs w:val="22"/>
        </w:rPr>
      </w:pPr>
      <w:r>
        <w:rPr>
          <w:rFonts w:ascii="Tahoma" w:hAnsi="Tahoma" w:cs="Tahoma"/>
          <w:sz w:val="22"/>
          <w:szCs w:val="22"/>
        </w:rPr>
        <w:tab/>
      </w:r>
      <w:r w:rsidRPr="006C242A">
        <w:rPr>
          <w:rFonts w:ascii="Tahoma" w:hAnsi="Tahoma" w:cs="Tahoma"/>
          <w:sz w:val="22"/>
          <w:szCs w:val="22"/>
        </w:rPr>
        <w:t xml:space="preserve">Korisnik se obvezuje Županiji dostaviti </w:t>
      </w:r>
      <w:r w:rsidR="00114642">
        <w:rPr>
          <w:rFonts w:ascii="Tahoma" w:hAnsi="Tahoma" w:cs="Tahoma"/>
          <w:sz w:val="22"/>
          <w:szCs w:val="22"/>
        </w:rPr>
        <w:t>i</w:t>
      </w:r>
      <w:r>
        <w:rPr>
          <w:rFonts w:ascii="Tahoma" w:hAnsi="Tahoma" w:cs="Tahoma"/>
          <w:sz w:val="22"/>
          <w:szCs w:val="22"/>
        </w:rPr>
        <w:t>zvješće o izvršenom programu/projektu za 202</w:t>
      </w:r>
      <w:r w:rsidR="00A50ECA">
        <w:rPr>
          <w:rFonts w:ascii="Tahoma" w:hAnsi="Tahoma" w:cs="Tahoma"/>
          <w:sz w:val="22"/>
          <w:szCs w:val="22"/>
        </w:rPr>
        <w:t>4</w:t>
      </w:r>
      <w:r>
        <w:rPr>
          <w:rFonts w:ascii="Tahoma" w:hAnsi="Tahoma" w:cs="Tahoma"/>
          <w:sz w:val="22"/>
          <w:szCs w:val="22"/>
        </w:rPr>
        <w:t xml:space="preserve">. godinu putem Obrasca 7 –Izvještajni </w:t>
      </w:r>
      <w:r w:rsidRPr="00E32698">
        <w:rPr>
          <w:rFonts w:ascii="Tahoma" w:hAnsi="Tahoma" w:cs="Tahoma"/>
          <w:sz w:val="22"/>
          <w:szCs w:val="22"/>
        </w:rPr>
        <w:t>obrazac iz natječajne dokumentacije</w:t>
      </w:r>
      <w:r w:rsidR="00A50ECA">
        <w:rPr>
          <w:rFonts w:ascii="Tahoma" w:hAnsi="Tahoma" w:cs="Tahoma"/>
          <w:sz w:val="22"/>
          <w:szCs w:val="22"/>
        </w:rPr>
        <w:t xml:space="preserve"> s pozivom na klasu U</w:t>
      </w:r>
      <w:r w:rsidRPr="006C242A">
        <w:rPr>
          <w:rFonts w:ascii="Tahoma" w:hAnsi="Tahoma" w:cs="Tahoma"/>
          <w:sz w:val="22"/>
          <w:szCs w:val="22"/>
        </w:rPr>
        <w:t>govora o sufinanciranju</w:t>
      </w:r>
      <w:r w:rsidR="00114642">
        <w:rPr>
          <w:rFonts w:ascii="Tahoma" w:hAnsi="Tahoma" w:cs="Tahoma"/>
          <w:sz w:val="22"/>
          <w:szCs w:val="22"/>
        </w:rPr>
        <w:t xml:space="preserve"> i </w:t>
      </w:r>
      <w:r w:rsidR="00114642" w:rsidRPr="00114642">
        <w:rPr>
          <w:rFonts w:ascii="Tahoma" w:hAnsi="Tahoma" w:cs="Tahoma"/>
          <w:sz w:val="22"/>
          <w:szCs w:val="22"/>
        </w:rPr>
        <w:t>dokaz da je učinio vidljivim da je Šibensko-kninska županija dodijelila sredstva za provedbu programa/projekta</w:t>
      </w:r>
      <w:r w:rsidRPr="00E32698">
        <w:rPr>
          <w:rFonts w:ascii="Tahoma" w:hAnsi="Tahoma" w:cs="Tahoma"/>
          <w:sz w:val="22"/>
          <w:szCs w:val="22"/>
        </w:rPr>
        <w:t>. Kao prilog Obrascu Korisnik je dužan dostaviti obvezne i dodatne priloge navedene u Izvještajnom obrascu kojima se dokazuje realizacija programa i namjensko trošenje sredstava dobivenih iz proračuna Županije.</w:t>
      </w:r>
      <w:r w:rsidRPr="006C242A">
        <w:rPr>
          <w:rFonts w:ascii="Tahoma" w:hAnsi="Tahoma" w:cs="Tahoma"/>
          <w:sz w:val="22"/>
          <w:szCs w:val="22"/>
        </w:rPr>
        <w:t xml:space="preserve"> </w:t>
      </w:r>
    </w:p>
    <w:p w:rsidR="00A50ECA" w:rsidRPr="006C242A" w:rsidRDefault="00A50ECA" w:rsidP="00382363">
      <w:pPr>
        <w:jc w:val="both"/>
        <w:rPr>
          <w:rFonts w:ascii="Tahoma" w:hAnsi="Tahoma" w:cs="Tahoma"/>
          <w:sz w:val="22"/>
          <w:szCs w:val="22"/>
        </w:rPr>
      </w:pPr>
    </w:p>
    <w:p w:rsidR="008D032A" w:rsidRPr="008D032A" w:rsidRDefault="00382363" w:rsidP="00A50ECA">
      <w:pPr>
        <w:ind w:firstLine="708"/>
        <w:jc w:val="both"/>
        <w:rPr>
          <w:rFonts w:ascii="Tahoma" w:hAnsi="Tahoma" w:cs="Tahoma"/>
          <w:sz w:val="22"/>
          <w:szCs w:val="22"/>
        </w:rPr>
      </w:pPr>
      <w:r w:rsidRPr="006C242A">
        <w:rPr>
          <w:rFonts w:ascii="Tahoma" w:hAnsi="Tahoma" w:cs="Tahoma"/>
          <w:sz w:val="22"/>
          <w:szCs w:val="22"/>
        </w:rPr>
        <w:t xml:space="preserve">Rok za dostavu programskog i financijskog izvješća je </w:t>
      </w:r>
      <w:r w:rsidR="008D032A" w:rsidRPr="008D032A">
        <w:rPr>
          <w:rFonts w:ascii="Tahoma" w:hAnsi="Tahoma" w:cs="Tahoma"/>
          <w:sz w:val="22"/>
          <w:szCs w:val="22"/>
        </w:rPr>
        <w:t>mjesec dana od završetka programa, a najkasnije do kraja siječnja 202</w:t>
      </w:r>
      <w:r w:rsidR="00A50ECA">
        <w:rPr>
          <w:rFonts w:ascii="Tahoma" w:hAnsi="Tahoma" w:cs="Tahoma"/>
          <w:sz w:val="22"/>
          <w:szCs w:val="22"/>
        </w:rPr>
        <w:t>5</w:t>
      </w:r>
      <w:r w:rsidR="008D032A" w:rsidRPr="008D032A">
        <w:rPr>
          <w:rFonts w:ascii="Tahoma" w:hAnsi="Tahoma" w:cs="Tahoma"/>
          <w:sz w:val="22"/>
          <w:szCs w:val="22"/>
        </w:rPr>
        <w:t>. godine</w:t>
      </w:r>
      <w:r w:rsidRPr="006C242A">
        <w:rPr>
          <w:rFonts w:ascii="Tahoma" w:hAnsi="Tahoma" w:cs="Tahoma"/>
          <w:sz w:val="22"/>
          <w:szCs w:val="22"/>
        </w:rPr>
        <w:t xml:space="preserve">. </w:t>
      </w:r>
    </w:p>
    <w:p w:rsidR="00A50ECA" w:rsidRDefault="00A50ECA" w:rsidP="00382363">
      <w:pPr>
        <w:jc w:val="center"/>
        <w:rPr>
          <w:rFonts w:ascii="Tahoma" w:hAnsi="Tahoma" w:cs="Tahoma"/>
          <w:b/>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t>VII.</w:t>
      </w:r>
    </w:p>
    <w:p w:rsidR="00382363" w:rsidRPr="006C242A" w:rsidRDefault="00382363" w:rsidP="00382363">
      <w:pPr>
        <w:jc w:val="center"/>
        <w:rPr>
          <w:rFonts w:ascii="Tahoma" w:hAnsi="Tahoma" w:cs="Tahoma"/>
          <w:b/>
          <w:sz w:val="22"/>
          <w:szCs w:val="22"/>
        </w:rPr>
      </w:pPr>
    </w:p>
    <w:p w:rsidR="008D032A" w:rsidRPr="006C242A" w:rsidRDefault="00382363" w:rsidP="00382363">
      <w:pPr>
        <w:jc w:val="both"/>
        <w:rPr>
          <w:rFonts w:ascii="Tahoma" w:hAnsi="Tahoma" w:cs="Tahoma"/>
          <w:sz w:val="22"/>
          <w:szCs w:val="22"/>
        </w:rPr>
      </w:pPr>
      <w:r>
        <w:rPr>
          <w:rFonts w:ascii="Tahoma" w:hAnsi="Tahoma" w:cs="Tahoma"/>
          <w:sz w:val="22"/>
          <w:szCs w:val="22"/>
        </w:rPr>
        <w:tab/>
      </w:r>
      <w:r w:rsidRPr="006C242A">
        <w:rPr>
          <w:rFonts w:ascii="Tahoma" w:hAnsi="Tahoma" w:cs="Tahoma"/>
          <w:sz w:val="22"/>
          <w:szCs w:val="22"/>
        </w:rPr>
        <w:t xml:space="preserve">Ukoliko Korisnik nenamjenski koristi sredstva, ne izvrši program ili ne podnese odgovarajuće izvješće, dužan je vratiti primljena sredstva Županiji u roku od 30 dana od dana primitka pisane obavijesti od strane Županije o povratu sredstava. </w:t>
      </w:r>
    </w:p>
    <w:p w:rsidR="00A50ECA" w:rsidRDefault="00A50ECA" w:rsidP="00382363">
      <w:pPr>
        <w:jc w:val="center"/>
        <w:rPr>
          <w:rFonts w:ascii="Tahoma" w:hAnsi="Tahoma" w:cs="Tahoma"/>
          <w:b/>
          <w:sz w:val="22"/>
          <w:szCs w:val="22"/>
        </w:rPr>
      </w:pPr>
    </w:p>
    <w:p w:rsidR="00382363" w:rsidRPr="006C242A" w:rsidRDefault="00382363" w:rsidP="00382363">
      <w:pPr>
        <w:jc w:val="center"/>
        <w:rPr>
          <w:rFonts w:ascii="Tahoma" w:hAnsi="Tahoma" w:cs="Tahoma"/>
          <w:b/>
          <w:sz w:val="22"/>
          <w:szCs w:val="22"/>
        </w:rPr>
      </w:pPr>
      <w:r w:rsidRPr="006C242A">
        <w:rPr>
          <w:rFonts w:ascii="Tahoma" w:hAnsi="Tahoma" w:cs="Tahoma"/>
          <w:b/>
          <w:sz w:val="22"/>
          <w:szCs w:val="22"/>
        </w:rPr>
        <w:t>VIII.</w:t>
      </w:r>
    </w:p>
    <w:p w:rsidR="00382363" w:rsidRPr="006C242A" w:rsidRDefault="00382363" w:rsidP="00382363">
      <w:pPr>
        <w:jc w:val="center"/>
        <w:rPr>
          <w:rFonts w:ascii="Tahoma" w:hAnsi="Tahoma" w:cs="Tahoma"/>
          <w:sz w:val="22"/>
          <w:szCs w:val="22"/>
        </w:rPr>
      </w:pPr>
    </w:p>
    <w:p w:rsidR="008D032A" w:rsidRDefault="00382363" w:rsidP="00382363">
      <w:pPr>
        <w:jc w:val="both"/>
        <w:rPr>
          <w:rFonts w:ascii="Tahoma" w:hAnsi="Tahoma" w:cs="Tahoma"/>
          <w:sz w:val="22"/>
          <w:szCs w:val="22"/>
        </w:rPr>
      </w:pPr>
      <w:r>
        <w:rPr>
          <w:rFonts w:ascii="Tahoma" w:hAnsi="Tahoma" w:cs="Tahoma"/>
          <w:sz w:val="22"/>
          <w:szCs w:val="22"/>
        </w:rPr>
        <w:tab/>
      </w:r>
      <w:r w:rsidRPr="006C242A">
        <w:rPr>
          <w:rFonts w:ascii="Tahoma" w:hAnsi="Tahoma" w:cs="Tahoma"/>
          <w:sz w:val="22"/>
          <w:szCs w:val="22"/>
        </w:rPr>
        <w:t>Potpisivanjem ovog ugovora Korisnik sredstava se obvezuje da kao primatelj bespovratnih sredstava iz javnih izvora za provođenje programa/projekta od interesa za opće dobro neće sudjelovati u izbornoj ili drugoj promidžbi političke stranke, koalicije ili kandidata, te da neće davati izravnu potporu političkoj stranci, koaliciji ili kandidatu niti prikupljati financijska sredstva za financiranje političkih stranaka, koalicija ili kandidata za sve vrijeme trajanja ovog ugovora.</w:t>
      </w:r>
    </w:p>
    <w:p w:rsidR="00A50ECA" w:rsidRPr="008D032A" w:rsidRDefault="00A50ECA" w:rsidP="00382363">
      <w:pPr>
        <w:jc w:val="both"/>
        <w:rPr>
          <w:rFonts w:ascii="Tahoma" w:hAnsi="Tahoma" w:cs="Tahoma"/>
          <w:sz w:val="22"/>
          <w:szCs w:val="22"/>
        </w:rPr>
      </w:pPr>
    </w:p>
    <w:p w:rsidR="00382363" w:rsidRDefault="00382363" w:rsidP="00382363">
      <w:pPr>
        <w:jc w:val="both"/>
        <w:rPr>
          <w:rFonts w:ascii="Tahoma" w:hAnsi="Tahoma" w:cs="Tahoma"/>
          <w:b/>
          <w:sz w:val="22"/>
          <w:szCs w:val="22"/>
        </w:rPr>
      </w:pP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b/>
          <w:sz w:val="22"/>
          <w:szCs w:val="22"/>
        </w:rPr>
        <w:t xml:space="preserve">IX. </w:t>
      </w:r>
    </w:p>
    <w:p w:rsidR="00382363" w:rsidRPr="006C242A" w:rsidRDefault="00382363" w:rsidP="00382363">
      <w:pPr>
        <w:jc w:val="both"/>
        <w:rPr>
          <w:rFonts w:ascii="Tahoma" w:hAnsi="Tahoma" w:cs="Tahoma"/>
          <w:b/>
          <w:sz w:val="22"/>
          <w:szCs w:val="22"/>
        </w:rPr>
      </w:pPr>
    </w:p>
    <w:p w:rsidR="00382363" w:rsidRPr="006C242A" w:rsidRDefault="00382363" w:rsidP="00382363">
      <w:pPr>
        <w:jc w:val="both"/>
        <w:rPr>
          <w:rFonts w:ascii="Tahoma" w:hAnsi="Tahoma" w:cs="Tahoma"/>
          <w:sz w:val="22"/>
          <w:szCs w:val="22"/>
        </w:rPr>
      </w:pPr>
      <w:r>
        <w:rPr>
          <w:rFonts w:ascii="Tahoma" w:hAnsi="Tahoma" w:cs="Tahoma"/>
          <w:sz w:val="22"/>
          <w:szCs w:val="22"/>
        </w:rPr>
        <w:tab/>
      </w:r>
      <w:r w:rsidRPr="006C242A">
        <w:rPr>
          <w:rFonts w:ascii="Tahoma" w:hAnsi="Tahoma" w:cs="Tahoma"/>
          <w:sz w:val="22"/>
          <w:szCs w:val="22"/>
        </w:rPr>
        <w:t>Županija ne snosi odgovornost za eventu</w:t>
      </w:r>
      <w:r w:rsidRPr="006C242A">
        <w:rPr>
          <w:rFonts w:ascii="Tahoma" w:hAnsi="Tahoma" w:cs="Tahoma"/>
          <w:b/>
          <w:sz w:val="22"/>
          <w:szCs w:val="22"/>
        </w:rPr>
        <w:t>a</w:t>
      </w:r>
      <w:r w:rsidRPr="006C242A">
        <w:rPr>
          <w:rFonts w:ascii="Tahoma" w:hAnsi="Tahoma" w:cs="Tahoma"/>
          <w:sz w:val="22"/>
          <w:szCs w:val="22"/>
        </w:rPr>
        <w:t xml:space="preserve">lne štete proizašle iz bilo koje aktivnosti Korisnika u provedbi ugovornog programa. </w:t>
      </w:r>
    </w:p>
    <w:p w:rsidR="00A50ECA" w:rsidRDefault="00A50ECA" w:rsidP="00382363">
      <w:pPr>
        <w:jc w:val="both"/>
        <w:rPr>
          <w:rFonts w:ascii="Tahoma" w:hAnsi="Tahoma" w:cs="Tahoma"/>
          <w:sz w:val="22"/>
          <w:szCs w:val="22"/>
        </w:rPr>
      </w:pPr>
    </w:p>
    <w:p w:rsidR="00382363" w:rsidRDefault="00382363" w:rsidP="00A50ECA">
      <w:pPr>
        <w:ind w:firstLine="708"/>
        <w:jc w:val="both"/>
        <w:rPr>
          <w:rFonts w:ascii="Tahoma" w:hAnsi="Tahoma" w:cs="Tahoma"/>
          <w:sz w:val="22"/>
          <w:szCs w:val="22"/>
        </w:rPr>
      </w:pPr>
      <w:r w:rsidRPr="006C242A">
        <w:rPr>
          <w:rFonts w:ascii="Tahoma" w:hAnsi="Tahoma" w:cs="Tahoma"/>
          <w:sz w:val="22"/>
          <w:szCs w:val="22"/>
        </w:rPr>
        <w:t>Ugovorne strane suglasne su da eventualne sporove koji bi proizašli iz ovog ugovora, a koje ne bi mogle sporazumno riješiti, rješava nadležni sud u Šibeniku.</w:t>
      </w:r>
    </w:p>
    <w:p w:rsidR="00A50ECA" w:rsidRDefault="00A50ECA" w:rsidP="00382363">
      <w:pPr>
        <w:jc w:val="both"/>
        <w:rPr>
          <w:rFonts w:ascii="Tahoma" w:hAnsi="Tahoma" w:cs="Tahoma"/>
          <w:sz w:val="22"/>
          <w:szCs w:val="22"/>
        </w:rPr>
      </w:pPr>
    </w:p>
    <w:p w:rsidR="00A50ECA" w:rsidRDefault="00A50ECA" w:rsidP="00382363">
      <w:pPr>
        <w:jc w:val="both"/>
        <w:rPr>
          <w:rFonts w:ascii="Tahoma" w:hAnsi="Tahoma" w:cs="Tahoma"/>
          <w:sz w:val="22"/>
          <w:szCs w:val="22"/>
        </w:rPr>
      </w:pPr>
    </w:p>
    <w:p w:rsidR="00A50ECA" w:rsidRDefault="00A50ECA" w:rsidP="00382363">
      <w:pPr>
        <w:jc w:val="both"/>
        <w:rPr>
          <w:rFonts w:ascii="Tahoma" w:hAnsi="Tahoma" w:cs="Tahoma"/>
          <w:sz w:val="22"/>
          <w:szCs w:val="22"/>
        </w:rPr>
      </w:pPr>
    </w:p>
    <w:p w:rsidR="00A50ECA" w:rsidRPr="006C242A" w:rsidRDefault="00A50ECA" w:rsidP="00382363">
      <w:pPr>
        <w:jc w:val="both"/>
        <w:rPr>
          <w:rFonts w:ascii="Tahoma" w:hAnsi="Tahoma" w:cs="Tahoma"/>
          <w:sz w:val="22"/>
          <w:szCs w:val="22"/>
        </w:rPr>
      </w:pPr>
    </w:p>
    <w:p w:rsidR="00382363" w:rsidRDefault="00382363" w:rsidP="00382363">
      <w:pPr>
        <w:jc w:val="center"/>
        <w:rPr>
          <w:rFonts w:ascii="Tahoma" w:hAnsi="Tahoma" w:cs="Tahoma"/>
          <w:b/>
          <w:sz w:val="22"/>
          <w:szCs w:val="22"/>
        </w:rPr>
      </w:pPr>
      <w:r w:rsidRPr="006C242A">
        <w:rPr>
          <w:rFonts w:ascii="Tahoma" w:hAnsi="Tahoma" w:cs="Tahoma"/>
          <w:b/>
          <w:sz w:val="22"/>
          <w:szCs w:val="22"/>
        </w:rPr>
        <w:t>X.</w:t>
      </w:r>
    </w:p>
    <w:p w:rsidR="00382363" w:rsidRPr="006C242A" w:rsidRDefault="00382363" w:rsidP="00382363">
      <w:pPr>
        <w:jc w:val="center"/>
        <w:rPr>
          <w:rFonts w:ascii="Tahoma" w:hAnsi="Tahoma" w:cs="Tahoma"/>
          <w:b/>
          <w:sz w:val="22"/>
          <w:szCs w:val="22"/>
        </w:rPr>
      </w:pPr>
    </w:p>
    <w:p w:rsidR="00382363" w:rsidRPr="006C242A" w:rsidRDefault="00382363" w:rsidP="00382363">
      <w:pPr>
        <w:jc w:val="both"/>
        <w:rPr>
          <w:rFonts w:ascii="Tahoma" w:hAnsi="Tahoma" w:cs="Tahoma"/>
          <w:sz w:val="22"/>
          <w:szCs w:val="22"/>
        </w:rPr>
      </w:pPr>
      <w:r>
        <w:rPr>
          <w:rFonts w:ascii="Tahoma" w:hAnsi="Tahoma" w:cs="Tahoma"/>
          <w:sz w:val="22"/>
          <w:szCs w:val="22"/>
        </w:rPr>
        <w:tab/>
      </w:r>
      <w:r w:rsidRPr="006C242A">
        <w:rPr>
          <w:rFonts w:ascii="Tahoma" w:hAnsi="Tahoma" w:cs="Tahoma"/>
          <w:sz w:val="22"/>
          <w:szCs w:val="22"/>
        </w:rPr>
        <w:t xml:space="preserve">Ovaj ugovor sastavljen je u </w:t>
      </w:r>
      <w:r>
        <w:rPr>
          <w:rFonts w:ascii="Tahoma" w:hAnsi="Tahoma" w:cs="Tahoma"/>
          <w:sz w:val="22"/>
          <w:szCs w:val="22"/>
        </w:rPr>
        <w:t>4</w:t>
      </w:r>
      <w:r w:rsidRPr="006C242A">
        <w:rPr>
          <w:rFonts w:ascii="Tahoma" w:hAnsi="Tahoma" w:cs="Tahoma"/>
          <w:sz w:val="22"/>
          <w:szCs w:val="22"/>
        </w:rPr>
        <w:t xml:space="preserve"> (</w:t>
      </w:r>
      <w:r>
        <w:rPr>
          <w:rFonts w:ascii="Tahoma" w:hAnsi="Tahoma" w:cs="Tahoma"/>
          <w:sz w:val="22"/>
          <w:szCs w:val="22"/>
        </w:rPr>
        <w:t>četiri</w:t>
      </w:r>
      <w:r w:rsidRPr="006C242A">
        <w:rPr>
          <w:rFonts w:ascii="Tahoma" w:hAnsi="Tahoma" w:cs="Tahoma"/>
          <w:sz w:val="22"/>
          <w:szCs w:val="22"/>
        </w:rPr>
        <w:t xml:space="preserve">) istovjetna primjerka od kojih Županija zadržava </w:t>
      </w:r>
      <w:r>
        <w:rPr>
          <w:rFonts w:ascii="Tahoma" w:hAnsi="Tahoma" w:cs="Tahoma"/>
          <w:sz w:val="22"/>
          <w:szCs w:val="22"/>
        </w:rPr>
        <w:t>3</w:t>
      </w:r>
      <w:r w:rsidRPr="006C242A">
        <w:rPr>
          <w:rFonts w:ascii="Tahoma" w:hAnsi="Tahoma" w:cs="Tahoma"/>
          <w:sz w:val="22"/>
          <w:szCs w:val="22"/>
        </w:rPr>
        <w:t xml:space="preserve"> (</w:t>
      </w:r>
      <w:r>
        <w:rPr>
          <w:rFonts w:ascii="Tahoma" w:hAnsi="Tahoma" w:cs="Tahoma"/>
          <w:sz w:val="22"/>
          <w:szCs w:val="22"/>
        </w:rPr>
        <w:t>tri</w:t>
      </w:r>
      <w:r w:rsidRPr="006C242A">
        <w:rPr>
          <w:rFonts w:ascii="Tahoma" w:hAnsi="Tahoma" w:cs="Tahoma"/>
          <w:sz w:val="22"/>
          <w:szCs w:val="22"/>
        </w:rPr>
        <w:t>), a Korisnik 1 (jedan) primjerak.</w:t>
      </w:r>
    </w:p>
    <w:p w:rsidR="00382363" w:rsidRPr="006C242A" w:rsidRDefault="00382363" w:rsidP="00382363">
      <w:pPr>
        <w:jc w:val="both"/>
        <w:rPr>
          <w:rFonts w:ascii="Tahoma" w:hAnsi="Tahoma" w:cs="Tahoma"/>
          <w:sz w:val="22"/>
          <w:szCs w:val="22"/>
        </w:rPr>
      </w:pPr>
    </w:p>
    <w:p w:rsidR="00382363" w:rsidRPr="006C242A" w:rsidRDefault="00382363" w:rsidP="00382363">
      <w:pPr>
        <w:jc w:val="both"/>
        <w:rPr>
          <w:rFonts w:ascii="Tahoma" w:hAnsi="Tahoma" w:cs="Tahoma"/>
          <w:sz w:val="22"/>
          <w:szCs w:val="22"/>
        </w:rPr>
      </w:pPr>
      <w:r w:rsidRPr="006C242A">
        <w:rPr>
          <w:rFonts w:ascii="Tahoma" w:hAnsi="Tahoma" w:cs="Tahoma"/>
          <w:sz w:val="22"/>
          <w:szCs w:val="22"/>
        </w:rPr>
        <w:t xml:space="preserve">KLASA: </w:t>
      </w:r>
      <w:bookmarkStart w:id="0" w:name="_GoBack"/>
      <w:bookmarkEnd w:id="0"/>
    </w:p>
    <w:p w:rsidR="00382363" w:rsidRPr="006C242A" w:rsidRDefault="00382363" w:rsidP="00382363">
      <w:pPr>
        <w:jc w:val="both"/>
        <w:rPr>
          <w:rFonts w:ascii="Tahoma" w:hAnsi="Tahoma" w:cs="Tahoma"/>
          <w:sz w:val="22"/>
          <w:szCs w:val="22"/>
        </w:rPr>
      </w:pPr>
      <w:r w:rsidRPr="006C242A">
        <w:rPr>
          <w:rFonts w:ascii="Tahoma" w:hAnsi="Tahoma" w:cs="Tahoma"/>
          <w:sz w:val="22"/>
          <w:szCs w:val="22"/>
        </w:rPr>
        <w:t xml:space="preserve">URBROJ: </w:t>
      </w:r>
    </w:p>
    <w:p w:rsidR="00382363" w:rsidRDefault="00382363" w:rsidP="00382363">
      <w:pPr>
        <w:jc w:val="both"/>
        <w:rPr>
          <w:rFonts w:ascii="Tahoma" w:hAnsi="Tahoma" w:cs="Tahoma"/>
          <w:sz w:val="22"/>
          <w:szCs w:val="22"/>
        </w:rPr>
      </w:pPr>
      <w:r w:rsidRPr="006C242A">
        <w:rPr>
          <w:rFonts w:ascii="Tahoma" w:hAnsi="Tahoma" w:cs="Tahoma"/>
          <w:sz w:val="22"/>
          <w:szCs w:val="22"/>
        </w:rPr>
        <w:t>Šibenik, ___________ 202</w:t>
      </w:r>
      <w:r w:rsidR="00A50ECA">
        <w:rPr>
          <w:rFonts w:ascii="Tahoma" w:hAnsi="Tahoma" w:cs="Tahoma"/>
          <w:sz w:val="22"/>
          <w:szCs w:val="22"/>
        </w:rPr>
        <w:t>4</w:t>
      </w:r>
      <w:r w:rsidRPr="006C242A">
        <w:rPr>
          <w:rFonts w:ascii="Tahoma" w:hAnsi="Tahoma" w:cs="Tahoma"/>
          <w:sz w:val="22"/>
          <w:szCs w:val="22"/>
        </w:rPr>
        <w:t>.</w:t>
      </w:r>
      <w:r w:rsidR="00A50ECA">
        <w:rPr>
          <w:rFonts w:ascii="Tahoma" w:hAnsi="Tahoma" w:cs="Tahoma"/>
          <w:sz w:val="22"/>
          <w:szCs w:val="22"/>
        </w:rPr>
        <w:t xml:space="preserve"> godine</w:t>
      </w:r>
    </w:p>
    <w:p w:rsidR="00A50ECA" w:rsidRDefault="00A50ECA" w:rsidP="00382363">
      <w:pPr>
        <w:jc w:val="both"/>
        <w:rPr>
          <w:rFonts w:ascii="Tahoma" w:hAnsi="Tahoma" w:cs="Tahoma"/>
          <w:sz w:val="22"/>
          <w:szCs w:val="22"/>
        </w:rPr>
      </w:pPr>
    </w:p>
    <w:p w:rsidR="008D032A" w:rsidRPr="006C242A" w:rsidRDefault="008D032A" w:rsidP="00382363">
      <w:pPr>
        <w:jc w:val="both"/>
        <w:rPr>
          <w:rFonts w:ascii="Tahoma" w:hAnsi="Tahoma" w:cs="Tahoma"/>
          <w:sz w:val="22"/>
          <w:szCs w:val="22"/>
        </w:rPr>
      </w:pPr>
    </w:p>
    <w:tbl>
      <w:tblPr>
        <w:tblW w:w="9660" w:type="dxa"/>
        <w:tblLook w:val="01E0" w:firstRow="1" w:lastRow="1" w:firstColumn="1" w:lastColumn="1" w:noHBand="0" w:noVBand="0"/>
      </w:tblPr>
      <w:tblGrid>
        <w:gridCol w:w="4830"/>
        <w:gridCol w:w="4830"/>
      </w:tblGrid>
      <w:tr w:rsidR="00382363" w:rsidRPr="006C242A" w:rsidTr="001F3965">
        <w:trPr>
          <w:trHeight w:val="733"/>
        </w:trPr>
        <w:tc>
          <w:tcPr>
            <w:tcW w:w="4830" w:type="dxa"/>
          </w:tcPr>
          <w:p w:rsidR="00382363" w:rsidRPr="006C242A" w:rsidRDefault="00382363" w:rsidP="001F3965">
            <w:pPr>
              <w:tabs>
                <w:tab w:val="left" w:pos="4320"/>
              </w:tabs>
              <w:ind w:right="2094"/>
              <w:jc w:val="center"/>
              <w:rPr>
                <w:rFonts w:ascii="Tahoma" w:hAnsi="Tahoma" w:cs="Tahoma"/>
                <w:bCs/>
                <w:sz w:val="22"/>
                <w:szCs w:val="22"/>
              </w:rPr>
            </w:pPr>
            <w:r>
              <w:rPr>
                <w:rFonts w:ascii="Tahoma" w:hAnsi="Tahoma" w:cs="Tahoma"/>
                <w:bCs/>
                <w:sz w:val="22"/>
                <w:szCs w:val="22"/>
              </w:rPr>
              <w:t>Osoba ovlaštena za zastupanje</w:t>
            </w:r>
          </w:p>
          <w:p w:rsidR="00382363" w:rsidRPr="006C242A" w:rsidRDefault="00382363" w:rsidP="001F3965">
            <w:pPr>
              <w:tabs>
                <w:tab w:val="left" w:pos="4320"/>
              </w:tabs>
              <w:ind w:right="2094"/>
              <w:jc w:val="center"/>
              <w:rPr>
                <w:rFonts w:ascii="Tahoma" w:hAnsi="Tahoma" w:cs="Tahoma"/>
                <w:bCs/>
                <w:sz w:val="22"/>
                <w:szCs w:val="22"/>
              </w:rPr>
            </w:pPr>
          </w:p>
        </w:tc>
        <w:tc>
          <w:tcPr>
            <w:tcW w:w="4830" w:type="dxa"/>
          </w:tcPr>
          <w:p w:rsidR="00382363" w:rsidRPr="006C242A" w:rsidRDefault="00382363" w:rsidP="001F3965">
            <w:pPr>
              <w:ind w:left="570"/>
              <w:jc w:val="center"/>
              <w:rPr>
                <w:rFonts w:ascii="Tahoma" w:hAnsi="Tahoma" w:cs="Tahoma"/>
                <w:bCs/>
                <w:sz w:val="22"/>
                <w:szCs w:val="22"/>
              </w:rPr>
            </w:pPr>
            <w:r w:rsidRPr="006C242A">
              <w:rPr>
                <w:rFonts w:ascii="Tahoma" w:hAnsi="Tahoma" w:cs="Tahoma"/>
                <w:bCs/>
                <w:sz w:val="22"/>
                <w:szCs w:val="22"/>
              </w:rPr>
              <w:t>Za Šibensko-kninsku županiju</w:t>
            </w:r>
          </w:p>
          <w:p w:rsidR="00382363" w:rsidRPr="006C242A" w:rsidRDefault="00382363" w:rsidP="001F3965">
            <w:pPr>
              <w:ind w:left="570"/>
              <w:jc w:val="center"/>
              <w:rPr>
                <w:rFonts w:ascii="Tahoma" w:hAnsi="Tahoma" w:cs="Tahoma"/>
                <w:bCs/>
                <w:sz w:val="22"/>
                <w:szCs w:val="22"/>
              </w:rPr>
            </w:pPr>
            <w:r w:rsidRPr="006C242A">
              <w:rPr>
                <w:rFonts w:ascii="Tahoma" w:hAnsi="Tahoma" w:cs="Tahoma"/>
                <w:bCs/>
                <w:sz w:val="22"/>
                <w:szCs w:val="22"/>
              </w:rPr>
              <w:t>Župan</w:t>
            </w:r>
          </w:p>
          <w:p w:rsidR="00382363" w:rsidRPr="006C242A" w:rsidRDefault="00382363" w:rsidP="001F3965">
            <w:pPr>
              <w:rPr>
                <w:rFonts w:ascii="Tahoma" w:hAnsi="Tahoma" w:cs="Tahoma"/>
                <w:bCs/>
                <w:sz w:val="22"/>
                <w:szCs w:val="22"/>
              </w:rPr>
            </w:pPr>
          </w:p>
          <w:p w:rsidR="00382363" w:rsidRPr="006C242A" w:rsidRDefault="00382363" w:rsidP="001F3965">
            <w:pPr>
              <w:ind w:left="570"/>
              <w:jc w:val="center"/>
              <w:rPr>
                <w:rFonts w:ascii="Tahoma" w:hAnsi="Tahoma" w:cs="Tahoma"/>
                <w:bCs/>
                <w:sz w:val="22"/>
                <w:szCs w:val="22"/>
              </w:rPr>
            </w:pPr>
            <w:r w:rsidRPr="006C242A">
              <w:rPr>
                <w:rFonts w:ascii="Tahoma" w:hAnsi="Tahoma" w:cs="Tahoma"/>
                <w:bCs/>
                <w:sz w:val="22"/>
                <w:szCs w:val="22"/>
              </w:rPr>
              <w:t>dr. sc. Marko Jelić</w:t>
            </w:r>
          </w:p>
        </w:tc>
      </w:tr>
    </w:tbl>
    <w:p w:rsidR="002F3171" w:rsidRDefault="002F3171"/>
    <w:sectPr w:rsidR="002F3171" w:rsidSect="00A50ECA">
      <w:headerReference w:type="default" r:id="rId7"/>
      <w:footerReference w:type="default" r:id="rId8"/>
      <w:pgSz w:w="11906" w:h="16838"/>
      <w:pgMar w:top="1670" w:right="1417" w:bottom="107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F2" w:rsidRDefault="00F36EF2">
      <w:r>
        <w:separator/>
      </w:r>
    </w:p>
  </w:endnote>
  <w:endnote w:type="continuationSeparator" w:id="0">
    <w:p w:rsidR="00F36EF2" w:rsidRDefault="00F3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22639"/>
      <w:docPartObj>
        <w:docPartGallery w:val="Page Numbers (Bottom of Page)"/>
        <w:docPartUnique/>
      </w:docPartObj>
    </w:sdtPr>
    <w:sdtEndPr/>
    <w:sdtContent>
      <w:p w:rsidR="00A50ECA" w:rsidRDefault="00A50ECA">
        <w:pPr>
          <w:pStyle w:val="Podnoje"/>
          <w:jc w:val="center"/>
        </w:pPr>
        <w:r>
          <w:fldChar w:fldCharType="begin"/>
        </w:r>
        <w:r>
          <w:instrText>PAGE   \* MERGEFORMAT</w:instrText>
        </w:r>
        <w:r>
          <w:fldChar w:fldCharType="separate"/>
        </w:r>
        <w:r w:rsidR="009C5D65">
          <w:rPr>
            <w:noProof/>
          </w:rPr>
          <w:t>2</w:t>
        </w:r>
        <w:r>
          <w:fldChar w:fldCharType="end"/>
        </w:r>
      </w:p>
    </w:sdtContent>
  </w:sdt>
  <w:p w:rsidR="00A50ECA" w:rsidRDefault="00A50EC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F2" w:rsidRDefault="00F36EF2">
      <w:r>
        <w:separator/>
      </w:r>
    </w:p>
  </w:footnote>
  <w:footnote w:type="continuationSeparator" w:id="0">
    <w:p w:rsidR="00F36EF2" w:rsidRDefault="00F36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4" w:rsidRDefault="0081570F">
    <w:pPr>
      <w:pStyle w:val="Zaglavlje"/>
      <w:jc w:val="right"/>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F953FA8" wp14:editId="4BB7FD6D">
              <wp:simplePos x="0" y="0"/>
              <wp:positionH relativeFrom="margin">
                <wp:posOffset>4452730</wp:posOffset>
              </wp:positionH>
              <wp:positionV relativeFrom="page">
                <wp:posOffset>596348</wp:posOffset>
              </wp:positionV>
              <wp:extent cx="1370992" cy="263608"/>
              <wp:effectExtent l="0" t="0" r="635" b="3175"/>
              <wp:wrapNone/>
              <wp:docPr id="59" name="Pravokutnik 4"/>
              <wp:cNvGraphicFramePr/>
              <a:graphic xmlns:a="http://schemas.openxmlformats.org/drawingml/2006/main">
                <a:graphicData uri="http://schemas.microsoft.com/office/word/2010/wordprocessingShape">
                  <wps:wsp>
                    <wps:cNvSpPr/>
                    <wps:spPr>
                      <a:xfrm>
                        <a:off x="0" y="0"/>
                        <a:ext cx="1370992" cy="26360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6964" w:rsidRDefault="0081570F" w:rsidP="00066964">
                          <w:pPr>
                            <w:jc w:val="center"/>
                          </w:pPr>
                          <w:r>
                            <w:t>OBRAZAC 5</w:t>
                          </w:r>
                        </w:p>
                      </w:txbxContent>
                    </wps:txbx>
                    <wps:bodyPr rtlCol="0" anchor="ctr"/>
                  </wps:wsp>
                </a:graphicData>
              </a:graphic>
              <wp14:sizeRelH relativeFrom="margin">
                <wp14:pctWidth>0</wp14:pctWidth>
              </wp14:sizeRelH>
              <wp14:sizeRelV relativeFrom="topMargin">
                <wp14:pctHeight>0</wp14:pctHeight>
              </wp14:sizeRelV>
            </wp:anchor>
          </w:drawing>
        </mc:Choice>
        <mc:Fallback>
          <w:pict>
            <v:rect id="Pravokutnik 4" o:spid="_x0000_s1026" style="position:absolute;left:0;text-align:left;margin-left:350.6pt;margin-top:46.95pt;width:107.95pt;height: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" fillcolor="#4472c4 [3204]" stroked="f" strokeweight="1pt">
              <v:textbox>
                <w:txbxContent>
                  <w:p w:rsidR="00066964" w:rsidRDefault="0081570F" w:rsidP="00066964">
                    <w:pPr>
                      <w:jc w:val="center"/>
                    </w:pPr>
                    <w:r>
                      <w:t>OBRAZAC 5</w:t>
                    </w:r>
                  </w:p>
                </w:txbxContent>
              </v:textbox>
              <w10:wrap anchorx="margin" anchory="page"/>
            </v:rect>
          </w:pict>
        </mc:Fallback>
      </mc:AlternateContent>
    </w:r>
  </w:p>
  <w:p w:rsidR="00066964" w:rsidRDefault="00F36EF2">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63"/>
    <w:rsid w:val="000777FB"/>
    <w:rsid w:val="00114642"/>
    <w:rsid w:val="002F3171"/>
    <w:rsid w:val="00382363"/>
    <w:rsid w:val="003E358E"/>
    <w:rsid w:val="0041336E"/>
    <w:rsid w:val="0081570F"/>
    <w:rsid w:val="008D032A"/>
    <w:rsid w:val="009C5D65"/>
    <w:rsid w:val="00A50ECA"/>
    <w:rsid w:val="00BB35F9"/>
    <w:rsid w:val="00BB3C89"/>
    <w:rsid w:val="00C32815"/>
    <w:rsid w:val="00EE5D58"/>
    <w:rsid w:val="00F363C1"/>
    <w:rsid w:val="00F36E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6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82363"/>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382363"/>
    <w:pPr>
      <w:tabs>
        <w:tab w:val="center" w:pos="4536"/>
        <w:tab w:val="right" w:pos="9072"/>
      </w:tabs>
    </w:pPr>
  </w:style>
  <w:style w:type="character" w:customStyle="1" w:styleId="ZaglavljeChar">
    <w:name w:val="Zaglavlje Char"/>
    <w:basedOn w:val="Zadanifontodlomka"/>
    <w:link w:val="Zaglavlje"/>
    <w:uiPriority w:val="99"/>
    <w:rsid w:val="0038236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50ECA"/>
    <w:pPr>
      <w:tabs>
        <w:tab w:val="center" w:pos="4536"/>
        <w:tab w:val="right" w:pos="9072"/>
      </w:tabs>
    </w:pPr>
  </w:style>
  <w:style w:type="character" w:customStyle="1" w:styleId="PodnojeChar">
    <w:name w:val="Podnožje Char"/>
    <w:basedOn w:val="Zadanifontodlomka"/>
    <w:link w:val="Podnoje"/>
    <w:uiPriority w:val="99"/>
    <w:rsid w:val="00A50ECA"/>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6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82363"/>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382363"/>
    <w:pPr>
      <w:tabs>
        <w:tab w:val="center" w:pos="4536"/>
        <w:tab w:val="right" w:pos="9072"/>
      </w:tabs>
    </w:pPr>
  </w:style>
  <w:style w:type="character" w:customStyle="1" w:styleId="ZaglavljeChar">
    <w:name w:val="Zaglavlje Char"/>
    <w:basedOn w:val="Zadanifontodlomka"/>
    <w:link w:val="Zaglavlje"/>
    <w:uiPriority w:val="99"/>
    <w:rsid w:val="0038236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50ECA"/>
    <w:pPr>
      <w:tabs>
        <w:tab w:val="center" w:pos="4536"/>
        <w:tab w:val="right" w:pos="9072"/>
      </w:tabs>
    </w:pPr>
  </w:style>
  <w:style w:type="character" w:customStyle="1" w:styleId="PodnojeChar">
    <w:name w:val="Podnožje Char"/>
    <w:basedOn w:val="Zadanifontodlomka"/>
    <w:link w:val="Podnoje"/>
    <w:uiPriority w:val="99"/>
    <w:rsid w:val="00A50EC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741</Words>
  <Characters>4227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Gusić Dobra</dc:creator>
  <cp:lastModifiedBy>HP Inc.</cp:lastModifiedBy>
  <cp:revision>4</cp:revision>
  <cp:lastPrinted>2023-02-20T08:40:00Z</cp:lastPrinted>
  <dcterms:created xsi:type="dcterms:W3CDTF">2024-04-16T06:17:00Z</dcterms:created>
  <dcterms:modified xsi:type="dcterms:W3CDTF">2024-04-19T07:21:00Z</dcterms:modified>
</cp:coreProperties>
</file>